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4F6D3E">
        <w:rPr>
          <w:szCs w:val="24"/>
        </w:rPr>
        <w:t>Советский проспект</w:t>
      </w:r>
      <w:r w:rsidR="0097023A">
        <w:rPr>
          <w:szCs w:val="24"/>
        </w:rPr>
        <w:t xml:space="preserve">, дом </w:t>
      </w:r>
      <w:r w:rsidR="00F07650">
        <w:rPr>
          <w:szCs w:val="24"/>
        </w:rPr>
        <w:t>221</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D64835">
        <w:rPr>
          <w:szCs w:val="24"/>
        </w:rPr>
        <w:t>1-528КП</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D64835">
        <w:rPr>
          <w:szCs w:val="24"/>
        </w:rPr>
        <w:t>75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D64835">
        <w:rPr>
          <w:szCs w:val="24"/>
        </w:rPr>
        <w:t>56</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D64835">
        <w:rPr>
          <w:szCs w:val="24"/>
        </w:rPr>
        <w:t>2761</w:t>
      </w:r>
      <w:r w:rsidR="00B03B7A">
        <w:rPr>
          <w:szCs w:val="24"/>
        </w:rPr>
        <w:t>,</w:t>
      </w:r>
      <w:r w:rsidR="00D64835">
        <w:rPr>
          <w:szCs w:val="24"/>
        </w:rPr>
        <w:t>8</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D64835">
        <w:rPr>
          <w:szCs w:val="24"/>
        </w:rPr>
        <w:t>768,6</w:t>
      </w:r>
      <w:r>
        <w:rPr>
          <w:szCs w:val="24"/>
        </w:rPr>
        <w:t xml:space="preserve"> 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D64835">
        <w:rPr>
          <w:szCs w:val="24"/>
        </w:rPr>
        <w:t>2761,8</w:t>
      </w:r>
      <w:r w:rsidR="0097023A">
        <w:rPr>
          <w:szCs w:val="24"/>
        </w:rPr>
        <w:t xml:space="preserve"> </w:t>
      </w:r>
      <w:r>
        <w:rPr>
          <w:szCs w:val="24"/>
        </w:rPr>
        <w:t>кв.м;</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D64835">
        <w:rPr>
          <w:szCs w:val="24"/>
        </w:rPr>
        <w:t>768,6</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275</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D64835">
        <w:rPr>
          <w:szCs w:val="24"/>
        </w:rPr>
        <w:t>45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4F6D3E">
        <w:rPr>
          <w:b/>
          <w:sz w:val="26"/>
          <w:szCs w:val="26"/>
        </w:rPr>
        <w:t>Советский пр.</w:t>
      </w:r>
      <w:r w:rsidR="00760708">
        <w:rPr>
          <w:b/>
          <w:sz w:val="26"/>
          <w:szCs w:val="26"/>
        </w:rPr>
        <w:t xml:space="preserve">, д. </w:t>
      </w:r>
      <w:r w:rsidR="00D64835">
        <w:rPr>
          <w:b/>
          <w:sz w:val="26"/>
          <w:szCs w:val="26"/>
        </w:rPr>
        <w:t>221</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4601B4">
            <w:pPr>
              <w:jc w:val="left"/>
              <w:rPr>
                <w:szCs w:val="24"/>
              </w:rPr>
            </w:pPr>
            <w:r w:rsidRPr="00C00C0E">
              <w:rPr>
                <w:szCs w:val="24"/>
              </w:rPr>
              <w:t>Количество</w:t>
            </w:r>
            <w:r w:rsidR="00562D6B">
              <w:rPr>
                <w:szCs w:val="24"/>
              </w:rPr>
              <w:t xml:space="preserve"> – </w:t>
            </w:r>
            <w:r w:rsidR="00E3351D">
              <w:rPr>
                <w:szCs w:val="24"/>
              </w:rPr>
              <w:t>4</w:t>
            </w:r>
            <w:r w:rsidR="004601B4">
              <w:rPr>
                <w:szCs w:val="24"/>
              </w:rPr>
              <w:t>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31757">
            <w:pPr>
              <w:jc w:val="left"/>
              <w:rPr>
                <w:szCs w:val="24"/>
              </w:rPr>
            </w:pPr>
            <w:r w:rsidRPr="00C00C0E">
              <w:rPr>
                <w:szCs w:val="24"/>
              </w:rPr>
              <w:t xml:space="preserve">Количество </w:t>
            </w:r>
            <w:r w:rsidR="00C47DBA">
              <w:rPr>
                <w:szCs w:val="24"/>
              </w:rPr>
              <w:t xml:space="preserve">– </w:t>
            </w:r>
            <w:r w:rsidR="00E3351D">
              <w:rPr>
                <w:szCs w:val="24"/>
              </w:rPr>
              <w:t>2</w:t>
            </w:r>
            <w:r w:rsidR="00431757">
              <w:rPr>
                <w:szCs w:val="24"/>
              </w:rPr>
              <w:t>0</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E3351D">
            <w:pPr>
              <w:jc w:val="left"/>
              <w:rPr>
                <w:szCs w:val="24"/>
              </w:rPr>
            </w:pPr>
            <w:r w:rsidRPr="00C00C0E">
              <w:rPr>
                <w:szCs w:val="24"/>
              </w:rPr>
              <w:t xml:space="preserve">Количество лестничных маршей </w:t>
            </w:r>
            <w:r>
              <w:rPr>
                <w:szCs w:val="24"/>
              </w:rPr>
              <w:t xml:space="preserve">– </w:t>
            </w:r>
            <w:r w:rsidR="00E3351D">
              <w:rPr>
                <w:szCs w:val="24"/>
              </w:rPr>
              <w:t>36</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E3351D" w:rsidRPr="00116367" w:rsidRDefault="00E3351D" w:rsidP="001F37EB">
            <w:pPr>
              <w:jc w:val="left"/>
              <w:rPr>
                <w:szCs w:val="24"/>
                <w:vertAlign w:val="superscript"/>
              </w:rPr>
            </w:pPr>
            <w:r>
              <w:rPr>
                <w:szCs w:val="24"/>
              </w:rPr>
              <w:t>Площадь пола – 562,6 м</w:t>
            </w:r>
            <w:r>
              <w:rPr>
                <w:szCs w:val="24"/>
                <w:vertAlign w:val="superscript"/>
              </w:rPr>
              <w:t>2</w:t>
            </w:r>
          </w:p>
          <w:p w:rsidR="00E3351D" w:rsidRPr="00C00C0E" w:rsidRDefault="00E3351D" w:rsidP="001F37EB">
            <w:pPr>
              <w:jc w:val="left"/>
              <w:rPr>
                <w:szCs w:val="24"/>
              </w:rPr>
            </w:pPr>
            <w:r w:rsidRPr="00C00C0E">
              <w:rPr>
                <w:szCs w:val="24"/>
              </w:rPr>
              <w:t xml:space="preserve">Перечень инженерных коммуникаций: </w:t>
            </w:r>
          </w:p>
          <w:p w:rsidR="00E3351D" w:rsidRPr="00C00C0E" w:rsidRDefault="00E3351D" w:rsidP="001F37EB">
            <w:pPr>
              <w:jc w:val="left"/>
              <w:rPr>
                <w:szCs w:val="24"/>
              </w:rPr>
            </w:pPr>
            <w:r w:rsidRPr="00C00C0E">
              <w:rPr>
                <w:szCs w:val="24"/>
              </w:rPr>
              <w:t>1. система отопления;</w:t>
            </w:r>
          </w:p>
          <w:p w:rsidR="00E3351D" w:rsidRPr="00C00C0E" w:rsidRDefault="00E3351D" w:rsidP="001F37EB">
            <w:pPr>
              <w:jc w:val="left"/>
              <w:rPr>
                <w:szCs w:val="24"/>
              </w:rPr>
            </w:pPr>
            <w:r w:rsidRPr="00C00C0E">
              <w:rPr>
                <w:szCs w:val="24"/>
              </w:rPr>
              <w:t>2</w:t>
            </w:r>
            <w:r>
              <w:rPr>
                <w:szCs w:val="24"/>
              </w:rPr>
              <w:t>. горячее водоснабжение;</w:t>
            </w:r>
          </w:p>
          <w:p w:rsidR="00E3351D" w:rsidRDefault="00E3351D"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E3351D" w:rsidRPr="00C00C0E" w:rsidRDefault="00E3351D" w:rsidP="001F37EB">
            <w:pPr>
              <w:jc w:val="left"/>
              <w:rPr>
                <w:szCs w:val="24"/>
              </w:rPr>
            </w:pPr>
            <w:r>
              <w:rPr>
                <w:szCs w:val="24"/>
              </w:rPr>
              <w:t xml:space="preserve">4. </w:t>
            </w:r>
            <w:r w:rsidRPr="00C00C0E">
              <w:rPr>
                <w:szCs w:val="24"/>
              </w:rPr>
              <w:t>канализация;</w:t>
            </w:r>
          </w:p>
          <w:p w:rsidR="00E3351D" w:rsidRPr="00C00C0E" w:rsidRDefault="00E3351D"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E3351D" w:rsidRPr="00C00C0E" w:rsidRDefault="00E3351D" w:rsidP="001F37EB">
            <w:pPr>
              <w:jc w:val="left"/>
              <w:rPr>
                <w:szCs w:val="24"/>
              </w:rPr>
            </w:pPr>
            <w:r w:rsidRPr="00C00C0E">
              <w:rPr>
                <w:szCs w:val="24"/>
              </w:rPr>
              <w:t>Требования пожарной безопасности</w:t>
            </w:r>
            <w:r>
              <w:rPr>
                <w:szCs w:val="24"/>
              </w:rPr>
              <w:t xml:space="preserve"> – соблюдаются</w:t>
            </w:r>
          </w:p>
          <w:p w:rsidR="00E3351D" w:rsidRDefault="00E3351D"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E3351D" w:rsidRDefault="00E3351D" w:rsidP="001F37EB">
            <w:pPr>
              <w:jc w:val="left"/>
              <w:rPr>
                <w:szCs w:val="24"/>
              </w:rPr>
            </w:pPr>
            <w:r>
              <w:rPr>
                <w:szCs w:val="24"/>
              </w:rPr>
              <w:t>1.</w:t>
            </w:r>
          </w:p>
          <w:p w:rsidR="00E3351D" w:rsidRPr="00C00C0E" w:rsidRDefault="00E3351D" w:rsidP="001F37EB">
            <w:pPr>
              <w:jc w:val="left"/>
              <w:rPr>
                <w:szCs w:val="24"/>
              </w:rPr>
            </w:pPr>
            <w:r>
              <w:rPr>
                <w:szCs w:val="24"/>
              </w:rPr>
              <w:t>2.</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Вид кровли</w:t>
            </w:r>
            <w:r>
              <w:rPr>
                <w:szCs w:val="24"/>
              </w:rPr>
              <w:t xml:space="preserve"> – плоская</w:t>
            </w:r>
          </w:p>
          <w:p w:rsidR="00E3351D" w:rsidRPr="00C00C0E" w:rsidRDefault="00E3351D" w:rsidP="00EC250D">
            <w:pPr>
              <w:jc w:val="left"/>
              <w:rPr>
                <w:szCs w:val="24"/>
              </w:rPr>
            </w:pPr>
            <w:r w:rsidRPr="00C00C0E">
              <w:rPr>
                <w:szCs w:val="24"/>
              </w:rPr>
              <w:t>Материал кровли</w:t>
            </w:r>
            <w:r>
              <w:rPr>
                <w:szCs w:val="24"/>
              </w:rPr>
              <w:t xml:space="preserve"> –</w:t>
            </w:r>
            <w:r w:rsidRPr="00C00C0E">
              <w:rPr>
                <w:szCs w:val="24"/>
              </w:rPr>
              <w:t xml:space="preserve"> </w:t>
            </w:r>
            <w:r>
              <w:rPr>
                <w:szCs w:val="24"/>
              </w:rPr>
              <w:t>рулонная</w:t>
            </w:r>
          </w:p>
          <w:p w:rsidR="00E3351D" w:rsidRPr="00C00C0E" w:rsidRDefault="00E3351D" w:rsidP="00B0365C">
            <w:pPr>
              <w:jc w:val="left"/>
              <w:rPr>
                <w:szCs w:val="24"/>
              </w:rPr>
            </w:pPr>
            <w:r w:rsidRPr="00C00C0E">
              <w:rPr>
                <w:szCs w:val="24"/>
              </w:rPr>
              <w:t>Площадь кровли</w:t>
            </w:r>
            <w:r>
              <w:rPr>
                <w:szCs w:val="24"/>
              </w:rPr>
              <w:t xml:space="preserve"> – </w:t>
            </w:r>
            <w:r w:rsidR="00B0365C">
              <w:rPr>
                <w:szCs w:val="24"/>
              </w:rPr>
              <w:t>920</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Описать состояние и указать: </w:t>
            </w:r>
          </w:p>
          <w:p w:rsidR="00E3351D" w:rsidRPr="00C00C0E" w:rsidRDefault="00E3351D" w:rsidP="00EC250D">
            <w:pPr>
              <w:jc w:val="left"/>
              <w:rPr>
                <w:szCs w:val="24"/>
              </w:rPr>
            </w:pPr>
            <w:r w:rsidRPr="00C00C0E">
              <w:rPr>
                <w:szCs w:val="24"/>
              </w:rPr>
              <w:t xml:space="preserve">- площадь крыши, требующей капитального ремонта </w:t>
            </w:r>
            <w:r>
              <w:rPr>
                <w:szCs w:val="24"/>
              </w:rPr>
              <w:t>– 0 кв.м</w:t>
            </w:r>
          </w:p>
          <w:p w:rsidR="00E3351D" w:rsidRPr="00C00C0E" w:rsidRDefault="00E3351D" w:rsidP="00EC250D">
            <w:pPr>
              <w:jc w:val="left"/>
              <w:rPr>
                <w:szCs w:val="24"/>
              </w:rPr>
            </w:pPr>
            <w:r w:rsidRPr="00C00C0E">
              <w:rPr>
                <w:szCs w:val="24"/>
              </w:rPr>
              <w:t>- площадь кры</w:t>
            </w:r>
            <w:r>
              <w:rPr>
                <w:szCs w:val="24"/>
              </w:rPr>
              <w:t>ши, требующей текущего ремонта – 0 кв.м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254090">
              <w:rPr>
                <w:szCs w:val="24"/>
              </w:rPr>
              <w:t>8</w:t>
            </w:r>
            <w:r>
              <w:rPr>
                <w:szCs w:val="24"/>
              </w:rPr>
              <w:t xml:space="preserve"> шт.</w:t>
            </w:r>
          </w:p>
          <w:p w:rsidR="00E3351D" w:rsidRPr="00C00C0E" w:rsidRDefault="00E3351D" w:rsidP="00EC250D">
            <w:pPr>
              <w:jc w:val="left"/>
              <w:rPr>
                <w:szCs w:val="24"/>
              </w:rPr>
            </w:pPr>
            <w:r w:rsidRPr="00C00C0E">
              <w:rPr>
                <w:szCs w:val="24"/>
              </w:rPr>
              <w:t xml:space="preserve">шт. из них: </w:t>
            </w:r>
          </w:p>
          <w:p w:rsidR="00E3351D" w:rsidRPr="00C00C0E" w:rsidRDefault="00E3351D" w:rsidP="00EC250D">
            <w:pPr>
              <w:jc w:val="left"/>
              <w:rPr>
                <w:szCs w:val="24"/>
              </w:rPr>
            </w:pPr>
            <w:r w:rsidRPr="00C00C0E">
              <w:rPr>
                <w:szCs w:val="24"/>
              </w:rPr>
              <w:t>- деревянных</w:t>
            </w:r>
            <w:r>
              <w:rPr>
                <w:szCs w:val="24"/>
              </w:rPr>
              <w:t xml:space="preserve"> –</w:t>
            </w:r>
            <w:r w:rsidRPr="00C00C0E">
              <w:rPr>
                <w:szCs w:val="24"/>
              </w:rPr>
              <w:t xml:space="preserve"> </w:t>
            </w:r>
            <w:r w:rsidR="00254090">
              <w:rPr>
                <w:szCs w:val="24"/>
              </w:rPr>
              <w:t>4</w:t>
            </w:r>
            <w:r>
              <w:rPr>
                <w:szCs w:val="24"/>
              </w:rPr>
              <w:t xml:space="preserve"> </w:t>
            </w:r>
            <w:r w:rsidRPr="00C00C0E">
              <w:rPr>
                <w:szCs w:val="24"/>
              </w:rPr>
              <w:t xml:space="preserve">шт.; </w:t>
            </w:r>
          </w:p>
          <w:p w:rsidR="00E3351D" w:rsidRPr="00C00C0E" w:rsidRDefault="00E3351D" w:rsidP="00254090">
            <w:pPr>
              <w:spacing w:after="40"/>
              <w:jc w:val="left"/>
              <w:rPr>
                <w:szCs w:val="24"/>
              </w:rPr>
            </w:pPr>
            <w:r w:rsidRPr="00C00C0E">
              <w:rPr>
                <w:szCs w:val="24"/>
              </w:rPr>
              <w:t>- металлических</w:t>
            </w:r>
            <w:r>
              <w:rPr>
                <w:szCs w:val="24"/>
              </w:rPr>
              <w:t xml:space="preserve"> – </w:t>
            </w:r>
            <w:r w:rsidR="00254090">
              <w:rPr>
                <w:szCs w:val="24"/>
              </w:rPr>
              <w:t>4</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дверей,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B859B2">
            <w:pPr>
              <w:jc w:val="left"/>
              <w:rPr>
                <w:szCs w:val="24"/>
              </w:rPr>
            </w:pPr>
            <w:r w:rsidRPr="00C00C0E">
              <w:rPr>
                <w:szCs w:val="24"/>
              </w:rPr>
              <w:t>Количество окон, расположенных в помещениях общего пользования</w:t>
            </w:r>
            <w:r>
              <w:rPr>
                <w:szCs w:val="24"/>
              </w:rPr>
              <w:t xml:space="preserve"> – </w:t>
            </w:r>
            <w:r w:rsidR="00B859B2">
              <w:rPr>
                <w:szCs w:val="24"/>
              </w:rPr>
              <w:t>16</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окон,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B859B2">
            <w:pPr>
              <w:spacing w:after="40"/>
              <w:jc w:val="left"/>
              <w:rPr>
                <w:szCs w:val="24"/>
              </w:rPr>
            </w:pPr>
            <w:r>
              <w:rPr>
                <w:szCs w:val="24"/>
              </w:rPr>
              <w:t xml:space="preserve">Длина водосточных труб – </w:t>
            </w:r>
            <w:r w:rsidR="00B859B2">
              <w:rPr>
                <w:szCs w:val="24"/>
              </w:rPr>
              <w:t>72</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E3351D" w:rsidRDefault="00E3351D" w:rsidP="00BC1545">
            <w:pPr>
              <w:jc w:val="left"/>
              <w:rPr>
                <w:szCs w:val="24"/>
              </w:rPr>
            </w:pPr>
            <w:r w:rsidRPr="00C00C0E">
              <w:rPr>
                <w:szCs w:val="24"/>
              </w:rPr>
              <w:t>Количество</w:t>
            </w:r>
            <w:r>
              <w:rPr>
                <w:szCs w:val="24"/>
              </w:rPr>
              <w:t xml:space="preserve"> –</w:t>
            </w:r>
            <w:r w:rsidRPr="00C00C0E">
              <w:rPr>
                <w:szCs w:val="24"/>
              </w:rPr>
              <w:t xml:space="preserve"> </w:t>
            </w:r>
            <w:r w:rsidR="00B859B2">
              <w:rPr>
                <w:szCs w:val="24"/>
              </w:rPr>
              <w:t>20</w:t>
            </w:r>
            <w:r>
              <w:rPr>
                <w:szCs w:val="24"/>
              </w:rPr>
              <w:t xml:space="preserve"> </w:t>
            </w:r>
            <w:r w:rsidRPr="00C00C0E">
              <w:rPr>
                <w:szCs w:val="24"/>
              </w:rPr>
              <w:t xml:space="preserve">шт.  </w:t>
            </w:r>
          </w:p>
          <w:p w:rsidR="00E3351D" w:rsidRDefault="00E3351D" w:rsidP="00BC1545">
            <w:pPr>
              <w:jc w:val="left"/>
              <w:rPr>
                <w:szCs w:val="24"/>
              </w:rPr>
            </w:pPr>
          </w:p>
          <w:p w:rsidR="00E3351D" w:rsidRPr="00C00C0E" w:rsidRDefault="00E3351D"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светильников,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B859B2">
            <w:pPr>
              <w:jc w:val="left"/>
              <w:rPr>
                <w:szCs w:val="24"/>
              </w:rPr>
            </w:pPr>
            <w:r>
              <w:rPr>
                <w:szCs w:val="24"/>
              </w:rPr>
              <w:t xml:space="preserve">Длина трубопроводов системы отопления – </w:t>
            </w:r>
            <w:r w:rsidR="00B859B2">
              <w:rPr>
                <w:szCs w:val="24"/>
              </w:rPr>
              <w:t>1308</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Количество: </w:t>
            </w:r>
          </w:p>
          <w:p w:rsidR="00E3351D" w:rsidRPr="00C00C0E" w:rsidRDefault="00E3351D"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E3351D" w:rsidRPr="00C00C0E" w:rsidRDefault="00E3351D" w:rsidP="00B859B2">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B859B2">
              <w:rPr>
                <w:szCs w:val="24"/>
              </w:rPr>
              <w:t>162</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1F37EB">
            <w:pPr>
              <w:jc w:val="left"/>
              <w:rPr>
                <w:szCs w:val="24"/>
              </w:rPr>
            </w:pPr>
            <w:r>
              <w:rPr>
                <w:szCs w:val="24"/>
              </w:rPr>
              <w:t>Количество задвижек, требующих замены – 0 шт.</w:t>
            </w:r>
          </w:p>
          <w:p w:rsidR="00E3351D" w:rsidRPr="00C00C0E" w:rsidRDefault="00E3351D" w:rsidP="001F37EB">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A308D2">
            <w:pPr>
              <w:jc w:val="left"/>
              <w:rPr>
                <w:szCs w:val="24"/>
              </w:rPr>
            </w:pPr>
            <w:r w:rsidRPr="00C00C0E">
              <w:rPr>
                <w:szCs w:val="24"/>
              </w:rPr>
              <w:t xml:space="preserve">Количество </w:t>
            </w:r>
            <w:r w:rsidR="00B859B2">
              <w:rPr>
                <w:szCs w:val="24"/>
              </w:rPr>
              <w:t>12</w:t>
            </w:r>
            <w:r w:rsidRPr="00C00C0E">
              <w:rPr>
                <w:szCs w:val="24"/>
              </w:rPr>
              <w:t xml:space="preserve"> шт. </w:t>
            </w:r>
          </w:p>
          <w:p w:rsidR="00E3351D" w:rsidRPr="00C00C0E" w:rsidRDefault="00E3351D"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A308D2">
            <w:pPr>
              <w:jc w:val="left"/>
              <w:rPr>
                <w:szCs w:val="24"/>
              </w:rPr>
            </w:pPr>
            <w:r>
              <w:rPr>
                <w:szCs w:val="24"/>
              </w:rPr>
              <w:t>Количество обогревающих элементов (радиаторов), требующих ремонта – 0 шт.</w:t>
            </w:r>
          </w:p>
          <w:p w:rsidR="00E3351D" w:rsidRPr="00C00C0E" w:rsidRDefault="00E3351D" w:rsidP="000B517A">
            <w:pPr>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B859B2">
            <w:pPr>
              <w:jc w:val="left"/>
              <w:rPr>
                <w:szCs w:val="24"/>
              </w:rPr>
            </w:pPr>
            <w:r>
              <w:rPr>
                <w:szCs w:val="24"/>
              </w:rPr>
              <w:t xml:space="preserve">Длина трубопроводов системы холодного водоснабжения – </w:t>
            </w:r>
            <w:r w:rsidR="00B859B2">
              <w:rPr>
                <w:szCs w:val="24"/>
              </w:rPr>
              <w:t>326</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Прот</w:t>
            </w:r>
            <w:r>
              <w:rPr>
                <w:szCs w:val="24"/>
              </w:rPr>
              <w:t>яженность труб, требующих замены – 0  м</w:t>
            </w:r>
          </w:p>
          <w:p w:rsidR="00E3351D" w:rsidRPr="00C00C0E" w:rsidRDefault="00E3351D"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B859B2">
            <w:pPr>
              <w:jc w:val="left"/>
              <w:rPr>
                <w:szCs w:val="24"/>
              </w:rPr>
            </w:pPr>
            <w:r>
              <w:rPr>
                <w:szCs w:val="24"/>
              </w:rPr>
              <w:t xml:space="preserve">Длина трубопроводов системы горячего водоснабжения – </w:t>
            </w:r>
            <w:r w:rsidR="00B859B2">
              <w:rPr>
                <w:szCs w:val="24"/>
              </w:rPr>
              <w:t>451</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3C4033">
            <w:pPr>
              <w:jc w:val="left"/>
              <w:rPr>
                <w:szCs w:val="24"/>
              </w:rPr>
            </w:pPr>
            <w:r w:rsidRPr="00C00C0E">
              <w:rPr>
                <w:szCs w:val="24"/>
              </w:rPr>
              <w:t>Прот</w:t>
            </w:r>
            <w:r>
              <w:rPr>
                <w:szCs w:val="24"/>
              </w:rPr>
              <w:t>яженность труб, требующих замены – 0  м</w:t>
            </w:r>
          </w:p>
          <w:p w:rsidR="00E3351D" w:rsidRPr="00C00C0E" w:rsidRDefault="00E3351D"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 xml:space="preserve">Количество: </w:t>
            </w:r>
          </w:p>
          <w:p w:rsidR="00E3351D" w:rsidRPr="00C00C0E" w:rsidRDefault="00E3351D" w:rsidP="000B517A">
            <w:pPr>
              <w:jc w:val="left"/>
              <w:rPr>
                <w:szCs w:val="24"/>
              </w:rPr>
            </w:pPr>
            <w:r w:rsidRPr="00C00C0E">
              <w:rPr>
                <w:szCs w:val="24"/>
              </w:rPr>
              <w:t>- задвижек</w:t>
            </w:r>
            <w:r>
              <w:rPr>
                <w:szCs w:val="24"/>
              </w:rPr>
              <w:t xml:space="preserve"> – 3 шт.</w:t>
            </w:r>
          </w:p>
          <w:p w:rsidR="00E3351D" w:rsidRPr="00C00C0E" w:rsidRDefault="00E3351D" w:rsidP="00B859B2">
            <w:pPr>
              <w:jc w:val="left"/>
              <w:rPr>
                <w:szCs w:val="24"/>
              </w:rPr>
            </w:pPr>
            <w:r w:rsidRPr="00C00C0E">
              <w:rPr>
                <w:szCs w:val="24"/>
              </w:rPr>
              <w:t>- вентилей</w:t>
            </w:r>
            <w:r>
              <w:rPr>
                <w:szCs w:val="24"/>
              </w:rPr>
              <w:t xml:space="preserve">, кранов – </w:t>
            </w:r>
            <w:r w:rsidR="00B859B2">
              <w:rPr>
                <w:szCs w:val="24"/>
              </w:rPr>
              <w:t>342</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6E70B2">
            <w:pPr>
              <w:jc w:val="left"/>
              <w:rPr>
                <w:szCs w:val="24"/>
              </w:rPr>
            </w:pPr>
            <w:r>
              <w:rPr>
                <w:szCs w:val="24"/>
              </w:rPr>
              <w:t>Количество задвижек, требующих замены – 0 шт.</w:t>
            </w:r>
          </w:p>
          <w:p w:rsidR="00E3351D" w:rsidRPr="00C00C0E" w:rsidRDefault="00E3351D" w:rsidP="006E70B2">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B859B2">
            <w:pPr>
              <w:jc w:val="left"/>
              <w:rPr>
                <w:szCs w:val="24"/>
              </w:rPr>
            </w:pPr>
            <w:r>
              <w:rPr>
                <w:szCs w:val="24"/>
              </w:rPr>
              <w:t xml:space="preserve">Длина трубопроводов системы водоотведения – </w:t>
            </w:r>
            <w:r w:rsidR="00B859B2">
              <w:rPr>
                <w:szCs w:val="24"/>
              </w:rPr>
              <w:t>364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A90DB4">
            <w:pPr>
              <w:jc w:val="left"/>
              <w:rPr>
                <w:szCs w:val="24"/>
              </w:rPr>
            </w:pPr>
            <w:r w:rsidRPr="00C00C0E">
              <w:rPr>
                <w:szCs w:val="24"/>
              </w:rPr>
              <w:t>Прот</w:t>
            </w:r>
            <w:r>
              <w:rPr>
                <w:szCs w:val="24"/>
              </w:rPr>
              <w:t>яженность труб, требующих замены – 0  м</w:t>
            </w:r>
          </w:p>
          <w:p w:rsidR="00E3351D" w:rsidRPr="00C00C0E" w:rsidRDefault="00E3351D" w:rsidP="00A90DB4">
            <w:pPr>
              <w:spacing w:after="40"/>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51" w:rsidRDefault="001C3151" w:rsidP="003C7877">
      <w:r>
        <w:separator/>
      </w:r>
    </w:p>
  </w:endnote>
  <w:endnote w:type="continuationSeparator" w:id="0">
    <w:p w:rsidR="001C3151" w:rsidRDefault="001C3151"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51" w:rsidRDefault="001C3151" w:rsidP="003C7877">
      <w:r>
        <w:separator/>
      </w:r>
    </w:p>
  </w:footnote>
  <w:footnote w:type="continuationSeparator" w:id="0">
    <w:p w:rsidR="001C3151" w:rsidRDefault="001C3151"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58C3"/>
    <w:rsid w:val="000A1F2E"/>
    <w:rsid w:val="000A3529"/>
    <w:rsid w:val="000A4106"/>
    <w:rsid w:val="000D684E"/>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C3151"/>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7023A"/>
    <w:rsid w:val="00971DF1"/>
    <w:rsid w:val="00971FA1"/>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365C"/>
    <w:rsid w:val="00B03B7A"/>
    <w:rsid w:val="00B15B5B"/>
    <w:rsid w:val="00B1613E"/>
    <w:rsid w:val="00B21D68"/>
    <w:rsid w:val="00B24276"/>
    <w:rsid w:val="00B331E2"/>
    <w:rsid w:val="00B36FBA"/>
    <w:rsid w:val="00B40E81"/>
    <w:rsid w:val="00B436ED"/>
    <w:rsid w:val="00B72F2F"/>
    <w:rsid w:val="00B73A5D"/>
    <w:rsid w:val="00B82807"/>
    <w:rsid w:val="00B8457D"/>
    <w:rsid w:val="00B859B2"/>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43604"/>
    <w:rsid w:val="00D52212"/>
    <w:rsid w:val="00D53769"/>
    <w:rsid w:val="00D5619A"/>
    <w:rsid w:val="00D64835"/>
    <w:rsid w:val="00D71449"/>
    <w:rsid w:val="00D72E20"/>
    <w:rsid w:val="00D75CC9"/>
    <w:rsid w:val="00D816C9"/>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6725"/>
    <w:rsid w:val="00E63A52"/>
    <w:rsid w:val="00E64EE3"/>
    <w:rsid w:val="00E70945"/>
    <w:rsid w:val="00E83BB3"/>
    <w:rsid w:val="00E90B5E"/>
    <w:rsid w:val="00E964C9"/>
    <w:rsid w:val="00EA0A7A"/>
    <w:rsid w:val="00EA1357"/>
    <w:rsid w:val="00EA1BCB"/>
    <w:rsid w:val="00EA4DEC"/>
    <w:rsid w:val="00EC250D"/>
    <w:rsid w:val="00EC4AFE"/>
    <w:rsid w:val="00EC7FAE"/>
    <w:rsid w:val="00ED6A63"/>
    <w:rsid w:val="00ED7D8D"/>
    <w:rsid w:val="00ED7FA2"/>
    <w:rsid w:val="00EF0D00"/>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8</cp:revision>
  <cp:lastPrinted>2017-02-16T06:49:00Z</cp:lastPrinted>
  <dcterms:created xsi:type="dcterms:W3CDTF">2017-11-21T10:08:00Z</dcterms:created>
  <dcterms:modified xsi:type="dcterms:W3CDTF">2017-11-21T10:39:00Z</dcterms:modified>
</cp:coreProperties>
</file>